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(c)Irrevocable Minor’s Trust Agreement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This Trust Agreement is made this ____________________ day of ____________________, 20__, at ____________________, in the State of ____________________, between ____________________, the Settlor, and ____________________, also serving as the Original Trustee under this Agreement.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desires to create an Irrevocable Trust for purposes outlined in this Agreement and has enumerated the terms and conditions the Trustee shall follow in administrating the Trust corpus.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delivered to the Trustee the property indicated in Exhibit A attached hereto, receipt of which is acknowledged by the Trustee of the Trust by signing and dating Exhibit A.</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That property, and any other property that may be received by the Trustee from the Settlor as additions to this Trust, shall be held and disposed of by the Trustee in accord with the terms stated in this Agreement. Property other than cash may be added to the Trust and any property added to the Trust shall be acknowledged by the Trustee by signing and dating additional exhibits, and any such property added to the trust shall be retitled in the name of the Trustee designating that he or she is holding the asset in his or her capacity as Trustee.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Settlor has no power to alter, amend, or revoke this Trust Agreement in any manner after its establishment.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An individual Trustee may resign by giving the Settlor written notice thirty (30) days in advance of the effective date of the Trustee’s resignation. If there is no Successor Trustee designated, the personal representative of the estate of ____________________ shall designate a Successor Trustee.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III</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Trustee shall administer this Trust for the benefit of my child, ____________________, as beneficiary, under the following terms and conditions: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During the time the beneficiary is under the age of twenty-one (21) years, the Trustee, within his or her sole discretion, may accumulate the beneficiary’s income or pay the same out to said beneficiary. Such distribution at the discretion of the Trustee shall be necessary or appropriate for the health, support, education, maintenance, and comfort of the beneficiary at his or her accustomed standard of living, considering other sources and funds available to the beneficiary.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In addition, wherever the Trustee determines the income of the beneficiary from all sources is not sufficient for his or her reasonable support and the maintenance suitable to him or her, the Trustee may use principal to provide for his or her lifestyle. Further, the Trustee may pay to the beneficiary an amount not to exceed the greater of $5,000 or five percent (5%) of the value of the principal at the end of each year upon the written request of the beneficiary.</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If there is an addition to the Trust, the Trustee shall give ten (10) days’ written notice to the beneficiary, who has the right and power to withdraw said addition. If the beneficiary fails to exercise his or her right to withdrawal within the lesser of six (6) weeks or by the end of that calendar year, the right lapses and the addition shall become an asset of the Trust, with no further right to withdrawal, excepting as specified in Paragraph B herein.</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When the beneficiary becomes age twenty-one (21), the Trustee shall distribute the Trust assets to the beneficiary and the Trust shall terminate.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If the beneficiary dies before attaining age twenty-one (21), the Trustee shall distribute the Trust assets to the personal representative of the beneficiary, and the Trust shall terminate.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IV</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Successor Trustee shall continue to hold title to all assets in the Trust until appropriate distribution can be lawfully made.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 as the Original Trustee, and all Successor Trustees under this Agreement shall have all powers enumerated under the Trust Code of the State of ____________________ and any other power that may be granted by law, to be exercised with the necessity of Court approval, as my Trustees, in their sole discretion, determine to be in the best interests of the beneficiaries. Said powers are to be construed in the broadest possible manner and shall include the following and shall pertain to both principal and income, but shall in no way be limited thereto: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To retain any property received from the Settlor without liability for loss due to lack of diversification or nonproductivity.</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To invest and reinvest the Trust estate in any kind of real or personal property without regard to any law restricting investment by Trustees and without regard to current income.</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To sell any Trust property, for cash or on credit, at public or private sales; to exchange any Trust property for other property; and to determine the prices and terms of sales and exchanges.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To take any action with respect to conserving or realizing upon the value of any Trust property, and with respect to foreclosures, reorganizations, or other changes affecting the Trust property; to collect, pay, contest, compromise, or abandon demands of or against the Trust estate, wherever situated; and to execute contracts, notes, conveyances, and other instruments, including instruments containing covenants and warranties binding upon and creating a charge against the Trust estate.</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Article VI</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following provisions govern the administration of this Trust as established by the Settlor.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A.</w:t>
        <w:tab/>
        <w:t xml:space="preserve">Any named Trustee of this Trust is relieved from any requirement as to routine Court accountings that may now or may hereafter be required by the statutes in force in any jurisdiction, although he or she is not precluded from obtaining judicial approval of his or her accounts. The Trustee shall be required to account on at least an annual basis to the income beneficiary of the Trust.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B.</w:t>
        <w:tab/>
        <w:t xml:space="preserve">This instrument and the dispositions hereunder shall be construed and regulated and their validity and effect shall be determined by the laws of the State of ____________________.</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C.</w:t>
        <w:tab/>
        <w:t xml:space="preserve">Any Trustee shall be entitled to reasonable compensation for services rendered in administering and distributing the Trust property, which shall be paid in accordance with an hourly rate if the Trustee is an individual. If the Trustee is a corporate fiduciary, it shall be compensated in accordance with its current fee schedule. During the administration of this Trust, the Trustee shall be entitled to reimbursement for expenses.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24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D.</w:t>
        <w:tab/>
        <w:t xml:space="preserve">No person paying money or delivering property to a given Trustee need see to its proper application by the Trustee.</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 w:val="left" w:leader="none" w:pos="720"/>
        </w:tabs>
        <w:spacing w:after="480" w:before="0" w:line="240" w:lineRule="auto"/>
        <w:ind w:left="720" w:right="0" w:hanging="72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ab/>
        <w:t xml:space="preserve">E.</w:t>
        <w:tab/>
        <w:t xml:space="preserve">In the event that ____________________ dies, resigns, or is unable to serve as Trustee of this Trust, ____________________ is nominated to serve as Successor Trustee under this Trust Agreement. The Successor Trustee shall automatically assume his or her position as Successor Trustee upon the signing of an oath, without the necessity of any Court order or approval of the same.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WITNESS WHEREOF, I, ____________________, have hereunto signed my name as Settlor and as the Original Trustee of this Agreement on the _____ day of ____________________, 20__.</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Settlor: ________________________________________</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Trustee: ________________________________________</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